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7" w:rsidRDefault="003B692A" w:rsidP="00214357">
      <w:pPr>
        <w:tabs>
          <w:tab w:val="left" w:pos="216"/>
        </w:tabs>
        <w:spacing w:after="0" w:line="240" w:lineRule="auto"/>
        <w:ind w:left="70"/>
        <w:jc w:val="center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Integral</w:t>
      </w:r>
    </w:p>
    <w:p w:rsidR="00A6554F" w:rsidRDefault="00A6554F" w:rsidP="00214357">
      <w:pPr>
        <w:tabs>
          <w:tab w:val="left" w:pos="216"/>
        </w:tabs>
        <w:spacing w:after="0" w:line="240" w:lineRule="auto"/>
        <w:ind w:left="70"/>
        <w:jc w:val="center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A6554F" w:rsidRDefault="00A6554F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684240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BA22E1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FIDEICOMISO DE FOMENTO PARA EL ESTADO DE OAXACA</w:t>
      </w:r>
    </w:p>
    <w:p w:rsidR="00A6554F" w:rsidRDefault="00A6554F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</w:p>
    <w:p w:rsidR="00684240" w:rsidRPr="0085175D" w:rsidRDefault="00684240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05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628"/>
        <w:gridCol w:w="1116"/>
        <w:gridCol w:w="3069"/>
        <w:gridCol w:w="1532"/>
        <w:gridCol w:w="2900"/>
      </w:tblGrid>
      <w:tr w:rsidR="00C62FA7" w:rsidRPr="0085175D" w:rsidTr="00A6554F">
        <w:trPr>
          <w:trHeight w:val="742"/>
          <w:tblHeader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07854" w:rsidRPr="0085175D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854" w:rsidRPr="0085175D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/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ACIÓN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750F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440D4F" w:rsidRPr="00D22D75" w:rsidTr="00A6554F">
        <w:trPr>
          <w:trHeight w:val="63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Default="000B04BC" w:rsidP="00A6554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0B04BC" w:rsidRDefault="000B04BC" w:rsidP="00A6554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0B04BC" w:rsidRPr="0085175D" w:rsidRDefault="000B04BC" w:rsidP="00A6554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0B04BC" w:rsidRPr="0085175D" w:rsidRDefault="000B04BC" w:rsidP="00A6554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br/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A655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0B04BC" w:rsidRPr="0085175D" w:rsidRDefault="000B04BC" w:rsidP="00A6554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85175D" w:rsidRDefault="00BA22E1" w:rsidP="00104A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9458AA" w:rsidRDefault="000B04BC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:rsidR="000B04BC" w:rsidRPr="00A30F35" w:rsidRDefault="000B04BC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82B7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440D4F" w:rsidRPr="00D22D75" w:rsidTr="00A6554F">
        <w:trPr>
          <w:trHeight w:val="147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F3062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85175D" w:rsidRDefault="00104A63" w:rsidP="00104A6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A30F35" w:rsidRDefault="000B04BC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2a LGT_Art_70_Fr_II</w:t>
            </w:r>
          </w:p>
          <w:p w:rsidR="000B04BC" w:rsidRPr="00A30F35" w:rsidRDefault="000B04BC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440D4F" w:rsidRPr="00D22D75" w:rsidTr="00A6554F">
        <w:trPr>
          <w:trHeight w:val="394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F3062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A30F35" w:rsidRDefault="000B04BC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440D4F" w:rsidRPr="00D22D75" w:rsidTr="00A6554F">
        <w:trPr>
          <w:trHeight w:val="563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4C5831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Promoción Institucional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440D4F" w:rsidRPr="00D22D75" w:rsidTr="00A6554F">
        <w:trPr>
          <w:trHeight w:val="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F3062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que conforme a sus funciones, deban establecer;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3F3DC0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Promoción </w:t>
            </w: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Institucional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lastRenderedPageBreak/>
              <w:t>Formato 5 LGT_Art_70_Fr_V</w:t>
            </w:r>
          </w:p>
        </w:tc>
      </w:tr>
      <w:tr w:rsidR="00440D4F" w:rsidRPr="00D22D75" w:rsidTr="00A6554F">
        <w:trPr>
          <w:trHeight w:val="576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F3062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>Dirección de Promoción Institucional</w:t>
            </w:r>
          </w:p>
          <w:p w:rsidR="0000259A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00259A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Contabilidad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440D4F" w:rsidRPr="00D22D75" w:rsidTr="00A6554F">
        <w:trPr>
          <w:trHeight w:val="12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440D4F" w:rsidRPr="00D22D75" w:rsidTr="00A6554F">
        <w:trPr>
          <w:trHeight w:val="2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3F3DC0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440D4F" w:rsidRPr="00BD4442" w:rsidTr="00A6554F">
        <w:trPr>
          <w:trHeight w:val="53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Tesorería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9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440D4F" w:rsidRPr="00D22D75" w:rsidTr="00A6554F">
        <w:trPr>
          <w:trHeight w:val="11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0A57A9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0259A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440D4F" w:rsidRPr="00D22D75" w:rsidTr="00A6554F">
        <w:trPr>
          <w:trHeight w:val="109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00259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440D4F" w:rsidRPr="00D22D75" w:rsidTr="00A6554F">
        <w:trPr>
          <w:trHeight w:val="80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DB662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440D4F" w:rsidRPr="00F82B7A" w:rsidTr="00A6554F">
        <w:trPr>
          <w:trHeight w:val="57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A6554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A6554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XIV </w:t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:rsidR="00C00A1F" w:rsidRPr="00A6554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A6554F" w:rsidRDefault="00A6554F" w:rsidP="006E05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6554F">
              <w:rPr>
                <w:rFonts w:ascii="Candara" w:hAnsi="Candara"/>
                <w:sz w:val="18"/>
                <w:szCs w:val="18"/>
              </w:rPr>
              <w:t>No</w:t>
            </w:r>
            <w:r w:rsidR="00CE7B37" w:rsidRPr="00A6554F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A6554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A6554F" w:rsidRDefault="0098438C" w:rsidP="00C1544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6554F" w:rsidRDefault="00C00A1F" w:rsidP="006E05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994D4C" w:rsidRDefault="00C00A1F" w:rsidP="000515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highlight w:val="cyan"/>
                <w:lang w:eastAsia="es-MX"/>
              </w:rPr>
            </w:pPr>
          </w:p>
        </w:tc>
      </w:tr>
      <w:tr w:rsidR="00440D4F" w:rsidRPr="00D22D75" w:rsidTr="00A6554F">
        <w:trPr>
          <w:trHeight w:val="126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795270" w:rsidRDefault="00795270" w:rsidP="00A43D4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9527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79527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aplicable a la</w:t>
            </w:r>
            <w:r w:rsidR="0006606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Secretarí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a de Desarrollo Social y Humano por la naturaleza de sus facultades y funciones.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795270" w:rsidRDefault="000133C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Promoción y Servicios Financieros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15b LGT_Art_70_Fr_XV</w:t>
            </w:r>
          </w:p>
        </w:tc>
      </w:tr>
      <w:tr w:rsidR="00440D4F" w:rsidRPr="00D22D75" w:rsidTr="00A6554F">
        <w:trPr>
          <w:trHeight w:val="150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47EB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16a LGT_Art_70_Fr_XVI</w:t>
            </w: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440D4F" w:rsidRPr="00D22D75" w:rsidTr="00A6554F">
        <w:trPr>
          <w:trHeight w:val="10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1C2A7A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47EB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156361" w:rsidRDefault="00C00A1F" w:rsidP="00F82B7A">
            <w:pPr>
              <w:pStyle w:val="Sinespaciado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156361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440D4F" w:rsidRPr="00D22D75" w:rsidTr="00A6554F">
        <w:trPr>
          <w:trHeight w:val="8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usa de sanción y la disposición.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47EB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440D4F" w:rsidRPr="00D22D75" w:rsidTr="00A6554F">
        <w:trPr>
          <w:trHeight w:val="6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47EB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Promoción y Servicios Financieros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440D4F" w:rsidRPr="00D22D75" w:rsidTr="00A6554F">
        <w:trPr>
          <w:trHeight w:val="64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447EBC">
              <w:rPr>
                <w:rFonts w:ascii="Candara" w:eastAsia="Times New Roman" w:hAnsi="Candara" w:cs="Times New Roman"/>
                <w:sz w:val="18"/>
                <w:lang w:eastAsia="es-MX"/>
              </w:rPr>
              <w:t>Departamento de Promoción y Servicios Financieros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440D4F" w:rsidRPr="00D22D75" w:rsidTr="00A6554F">
        <w:trPr>
          <w:trHeight w:val="11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Contabilidad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21a LGT_Art_70_Fr_XXI</w:t>
            </w:r>
          </w:p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21b LGT_Art_70_Fr_XXI</w:t>
            </w:r>
          </w:p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21c LGT_Art_70_Fr_XXI</w:t>
            </w:r>
          </w:p>
        </w:tc>
      </w:tr>
      <w:tr w:rsidR="00440D4F" w:rsidRPr="00857FBB" w:rsidTr="00A6554F">
        <w:trPr>
          <w:trHeight w:val="8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447EBC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Aplica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Default="00C00A1F" w:rsidP="009159B7">
            <w:pPr>
              <w:spacing w:after="0" w:line="240" w:lineRule="auto"/>
              <w:jc w:val="both"/>
              <w:rPr>
                <w:rFonts w:ascii="Candara" w:eastAsia="Times New Roman" w:hAnsi="Candara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/>
                <w:sz w:val="18"/>
                <w:szCs w:val="18"/>
                <w:lang w:eastAsia="es-MX"/>
              </w:rPr>
              <w:t>Solo aplica a la</w:t>
            </w:r>
            <w:r w:rsidRPr="00857FBB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 </w:t>
            </w:r>
            <w:r w:rsidRPr="00FC2CB4">
              <w:rPr>
                <w:rFonts w:ascii="Candara" w:eastAsia="Times New Roman" w:hAnsi="Candara"/>
                <w:sz w:val="18"/>
                <w:szCs w:val="18"/>
                <w:lang w:eastAsia="es-MX"/>
              </w:rPr>
              <w:t>Secretaría de Finanzas del Gobierno del Estado de Oaxaca previa autorización del Honorable Congreso.</w:t>
            </w:r>
          </w:p>
          <w:p w:rsidR="0098438C" w:rsidRPr="00857FBB" w:rsidRDefault="0098438C" w:rsidP="009159B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440D4F" w:rsidRPr="00D22D75" w:rsidTr="00A6554F">
        <w:trPr>
          <w:trHeight w:val="16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95B0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  <w:r w:rsidRPr="00895B0D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895B0D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F421E8" w:rsidRPr="00895B0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895B0D" w:rsidRDefault="00AA6EEF" w:rsidP="00447EB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El formato 23c LGT_Art_70_Fr_XXIII corresponde a 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  <w:r w:rsidR="00C0295A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895B0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  <w:t xml:space="preserve">Dirección Administrativa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CA5767" w:rsidRDefault="00F421E8" w:rsidP="000B04BC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F421E8" w:rsidRPr="00895B0D" w:rsidRDefault="00F421E8" w:rsidP="000B04BC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 23a LGT_Art_70_Fr_XXIII</w:t>
            </w:r>
          </w:p>
          <w:p w:rsidR="00F421E8" w:rsidRPr="00895B0D" w:rsidRDefault="00F421E8" w:rsidP="000B04BC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 23b LGT_Art_70_Fr_XXIII</w:t>
            </w:r>
          </w:p>
          <w:p w:rsidR="00F421E8" w:rsidRPr="00264F17" w:rsidRDefault="00204E46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r w:rsidRPr="009F29D0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85175D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85175D" w:rsidRDefault="00447E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Contabilidad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A30F35" w:rsidRDefault="00F421E8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440D4F" w:rsidRPr="00BA22E1" w:rsidTr="00A6554F">
        <w:trPr>
          <w:trHeight w:val="58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FF4A80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C00A1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Default="00D64E17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4E17">
              <w:rPr>
                <w:rFonts w:ascii="Candara" w:eastAsia="Times New Roman" w:hAnsi="Candara" w:cs="Times New Roman"/>
                <w:sz w:val="18"/>
                <w:lang w:eastAsia="es-MX"/>
              </w:rPr>
              <w:t>El llenado del formato es para los sujetos obligados que se encuentren en los supuestos señalados en el artículo 32 A del Código Fiscal de la Federación</w:t>
            </w:r>
          </w:p>
          <w:p w:rsidR="0098438C" w:rsidRPr="00D64E17" w:rsidRDefault="0098438C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CA5767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440D4F" w:rsidRPr="00D22D75" w:rsidTr="00A6554F">
        <w:trPr>
          <w:trHeight w:val="8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A6554F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A6554F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F421E8" w:rsidRPr="00A6554F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A6554F" w:rsidRDefault="00FF4A80" w:rsidP="006E05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6554F">
              <w:rPr>
                <w:rFonts w:ascii="Candara" w:hAnsi="Candara"/>
                <w:sz w:val="18"/>
                <w:szCs w:val="18"/>
              </w:rPr>
              <w:t xml:space="preserve"> </w:t>
            </w:r>
            <w:r w:rsidR="00F421E8" w:rsidRPr="00A6554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A6554F" w:rsidRDefault="00F421E8" w:rsidP="000B1C9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A6554F" w:rsidRDefault="00D22D7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 Materiales y Servicios G</w:t>
            </w:r>
            <w:r w:rsidR="006E0594" w:rsidRPr="00A6554F">
              <w:rPr>
                <w:rFonts w:ascii="Candara" w:eastAsia="Times New Roman" w:hAnsi="Candara" w:cs="Times New Roman"/>
                <w:sz w:val="18"/>
                <w:lang w:eastAsia="es-MX"/>
              </w:rPr>
              <w:t>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CA5767" w:rsidRDefault="00994D4C" w:rsidP="006E059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</w:pPr>
            <w:r w:rsidRPr="00CA5767">
              <w:rPr>
                <w:rFonts w:ascii="Candara" w:eastAsia="Times New Roman" w:hAnsi="Candara" w:cs="Times New Roman"/>
                <w:noProof/>
                <w:sz w:val="18"/>
                <w:szCs w:val="18"/>
                <w:lang w:val="en-US" w:eastAsia="es-MX"/>
              </w:rPr>
              <w:t>Formato 26 LGT_Art_70_Fr_XXVI</w:t>
            </w:r>
          </w:p>
        </w:tc>
      </w:tr>
      <w:tr w:rsidR="00440D4F" w:rsidRPr="00D22D75" w:rsidTr="00A6554F">
        <w:trPr>
          <w:trHeight w:val="152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lastRenderedPageBreak/>
              <w:t>involucra el aprovechamiento de bienes, servicios y/o recursos públicos;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FF4A8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440D4F" w:rsidRPr="00D22D75" w:rsidTr="00A6554F">
        <w:trPr>
          <w:trHeight w:val="149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F4439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28a LGT_Art_70_Fr_XXVIII</w:t>
            </w: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440D4F" w:rsidRPr="00D22D75" w:rsidTr="00A6554F">
        <w:trPr>
          <w:trHeight w:val="56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F4439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440D4F" w:rsidRPr="00D22D75" w:rsidTr="00FE5723">
        <w:trPr>
          <w:trHeight w:val="4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2" w:rsidRPr="0085175D" w:rsidRDefault="00667F32" w:rsidP="00667F3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32" w:rsidRDefault="00667F32" w:rsidP="00667F3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  <w:p w:rsidR="00667F32" w:rsidRPr="0085175D" w:rsidRDefault="00667F32" w:rsidP="00667F3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32" w:rsidRPr="002519D1" w:rsidRDefault="00667F32" w:rsidP="00667F3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32" w:rsidRDefault="00667F32" w:rsidP="00667F32"/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32" w:rsidRDefault="00667F32" w:rsidP="00FE5723">
            <w:pPr>
              <w:spacing w:after="0" w:line="240" w:lineRule="auto"/>
            </w:pPr>
            <w:r w:rsidRPr="00155D18">
              <w:rPr>
                <w:rFonts w:ascii="Candara" w:hAnsi="Candara"/>
                <w:sz w:val="18"/>
                <w:szCs w:val="18"/>
              </w:rPr>
              <w:t>Dirección</w:t>
            </w:r>
            <w:r w:rsidRPr="00667F32">
              <w:t xml:space="preserve"> </w:t>
            </w:r>
            <w:r w:rsidRPr="00155D18">
              <w:rPr>
                <w:rFonts w:ascii="Candara" w:eastAsia="Times New Roman" w:hAnsi="Candara" w:cs="Times New Roman"/>
                <w:sz w:val="18"/>
                <w:lang w:eastAsia="es-MX"/>
              </w:rPr>
              <w:t>Administrativa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2" w:rsidRPr="00A30F35" w:rsidRDefault="00667F32" w:rsidP="00667F3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440D4F" w:rsidRPr="00D22D75" w:rsidTr="00A6554F">
        <w:trPr>
          <w:trHeight w:val="85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667F3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Contabilidad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9458AA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</w:p>
          <w:p w:rsidR="00C00A1F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31a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  <w:p w:rsidR="00C00A1F" w:rsidRPr="00A30F35" w:rsidRDefault="00C00A1F" w:rsidP="0065531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31b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</w:p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45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667F3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667F32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440D4F" w:rsidRPr="00D22D75" w:rsidTr="00A6554F">
        <w:trPr>
          <w:trHeight w:val="58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667F3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440D4F" w:rsidRPr="00D22D75" w:rsidTr="00A6554F">
        <w:trPr>
          <w:trHeight w:val="74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D05EDE" w:rsidRDefault="0098438C" w:rsidP="00F62CF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D05EDE" w:rsidRDefault="00F62CF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62CF7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34a LGT_Art_70_Fr_XXXIV</w:t>
            </w:r>
          </w:p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34bLGT_Art_70_Fr_XXXIV</w:t>
            </w:r>
          </w:p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34c LGT_Art_70_Fr_XXXIV</w:t>
            </w:r>
          </w:p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34d LGT_Art_70_Fr_XXXIV</w:t>
            </w:r>
          </w:p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34e LGT_Art_70_Fr_XXXIV</w:t>
            </w:r>
          </w:p>
          <w:p w:rsidR="00F62CF7" w:rsidRPr="00F62CF7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34f LGT_Art_70_Fr_XXXIV</w:t>
            </w:r>
          </w:p>
          <w:p w:rsidR="00C00A1F" w:rsidRPr="00A30F35" w:rsidRDefault="00F62CF7" w:rsidP="00F62CF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62CF7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34g LGT_Art_70_Fr_XXXIV</w:t>
            </w:r>
          </w:p>
        </w:tc>
      </w:tr>
      <w:tr w:rsidR="00440D4F" w:rsidRPr="00BA22E1" w:rsidTr="00A6554F">
        <w:trPr>
          <w:trHeight w:val="109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CA5767" w:rsidRDefault="006C7B8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35c LGT_Art_70_Fr_XXXV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F62CF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35a GT_Art_70_Fr_XXXV</w:t>
            </w:r>
          </w:p>
          <w:p w:rsidR="00C00A1F" w:rsidRPr="00A30F35" w:rsidRDefault="00214357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35b</w:t>
            </w:r>
            <w:r w:rsidR="00C00A1F"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</w:t>
            </w:r>
          </w:p>
          <w:p w:rsidR="00C00A1F" w:rsidRPr="00A30F35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26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A6554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A6554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</w:p>
          <w:p w:rsidR="00C00A1F" w:rsidRPr="00A6554F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A6554F" w:rsidRDefault="0080143E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6554F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00A1F" w:rsidRPr="00A6554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A6554F" w:rsidRDefault="00C00A1F" w:rsidP="008014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6554F" w:rsidRDefault="00994D4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</w:t>
            </w:r>
            <w:r w:rsidR="000B1C9A" w:rsidRPr="00A6554F">
              <w:rPr>
                <w:rFonts w:ascii="Candara" w:eastAsia="Times New Roman" w:hAnsi="Candara" w:cs="Times New Roman"/>
                <w:sz w:val="18"/>
                <w:lang w:eastAsia="es-MX"/>
              </w:rPr>
              <w:t>Jurídico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6554F" w:rsidRDefault="00994D4C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6554F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440D4F" w:rsidRPr="00D22D75" w:rsidTr="00A6554F">
        <w:trPr>
          <w:trHeight w:val="54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80143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  <w:p w:rsidR="0080143E" w:rsidRDefault="0080143E" w:rsidP="0080143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80143E" w:rsidRPr="0085175D" w:rsidRDefault="0080143E" w:rsidP="0080143E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Promoción Institucional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214357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r w:rsidR="00C00A1F" w:rsidRPr="00C9724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3</w:t>
            </w:r>
            <w:r w:rsidR="00C00A1F"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7aLGT_Art_70_Fr_XXXVII</w:t>
            </w:r>
          </w:p>
          <w:p w:rsidR="00C00A1F" w:rsidRPr="00A30F35" w:rsidRDefault="00C00A1F" w:rsidP="0021435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37bLGT_Art_70_Fr_XXXVII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80143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Promoción y Servicios Financieros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C00A1F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38aLGT_Art_70_Fr_XXXVII</w:t>
            </w:r>
          </w:p>
          <w:p w:rsidR="00C00A1F" w:rsidRPr="00A30F35" w:rsidRDefault="00C00A1F" w:rsidP="0021435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38bLGT_Art_70_Fr_XXXVII</w:t>
            </w:r>
          </w:p>
        </w:tc>
      </w:tr>
      <w:tr w:rsidR="00440D4F" w:rsidRPr="00D22D75" w:rsidTr="00A6554F">
        <w:trPr>
          <w:trHeight w:val="59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80143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39aLGT_Art_70_Fr_XXXIX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39b LGT_Art_70_Fr_XXXIX</w:t>
            </w:r>
          </w:p>
          <w:p w:rsidR="00A43D49" w:rsidRPr="00A30F35" w:rsidRDefault="00214357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39c</w:t>
            </w:r>
            <w:r w:rsidR="00A43D49"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A43D49" w:rsidRPr="00A30F35" w:rsidRDefault="00A43D49" w:rsidP="0021435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39d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</w:tc>
      </w:tr>
      <w:tr w:rsidR="00440D4F" w:rsidRPr="00D22D75" w:rsidTr="00A6554F">
        <w:trPr>
          <w:trHeight w:val="8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85175D" w:rsidRDefault="0098438C" w:rsidP="00673C8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  <w:p w:rsidR="00673C81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673C81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Capacitación y Gestión de Proyectos </w:t>
            </w:r>
          </w:p>
          <w:p w:rsidR="00673C81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673C81" w:rsidRPr="0085175D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 xml:space="preserve">Departamento de Contabilidad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Default="00A43D49" w:rsidP="00F82B7A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lastRenderedPageBreak/>
              <w:t>Formato 40a LGT_Art_70_Fr_XL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440D4F" w:rsidRPr="00655190" w:rsidTr="00A6554F">
        <w:trPr>
          <w:trHeight w:val="72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673C81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101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  <w:p w:rsidR="00A43D49" w:rsidRPr="00A30F35" w:rsidRDefault="00A43D49" w:rsidP="00F82B7A">
            <w:pPr>
              <w:spacing w:after="101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41 LGT_Art_70_Fr_XLI</w:t>
            </w:r>
          </w:p>
          <w:p w:rsidR="00A43D49" w:rsidRPr="00A30F35" w:rsidRDefault="00A43D49" w:rsidP="00F82B7A">
            <w:pPr>
              <w:spacing w:after="101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3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72EF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</w:t>
            </w:r>
            <w:r w:rsidR="00D733EB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B74576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42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LGT_Art_70_Fr_XLII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facultad de las instituciones de seguridad social o que pagan jubilaciones o pensiones en f</w:t>
            </w:r>
            <w:r w:rsidR="00D733E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orma directa a sus trabajadores.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B74576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A72EF2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Humanos, Materiales y Servicios Generales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D733EB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Default="00A72EF2" w:rsidP="00A72EF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  <w:p w:rsidR="00A72EF2" w:rsidRDefault="00A72EF2" w:rsidP="00A72EF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72EF2" w:rsidRPr="0085175D" w:rsidRDefault="00A72EF2" w:rsidP="00A72EF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43a LGT_Art_70_Fr_XLIII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440D4F" w:rsidRPr="00D22D75" w:rsidTr="00A6554F">
        <w:trPr>
          <w:trHeight w:val="35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44a LGT_Art_70_Fr_XLIV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440D4F" w:rsidRPr="00D22D75" w:rsidTr="00A6554F">
        <w:trPr>
          <w:trHeight w:val="39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A72EF2" w:rsidP="00CA5767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</w:t>
            </w:r>
            <w:r w:rsidR="00CA5767">
              <w:rPr>
                <w:rFonts w:ascii="Candara" w:eastAsia="Times New Roman" w:hAnsi="Candara" w:cs="Times New Roman"/>
                <w:sz w:val="18"/>
                <w:lang w:eastAsia="es-MX"/>
              </w:rPr>
              <w:t>de financiamiento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440D4F" w:rsidRPr="00D22D75" w:rsidTr="00A6554F">
        <w:trPr>
          <w:trHeight w:val="74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4BA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D4BA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46a LGT_Art_70_Fr_XLVI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440D4F" w:rsidRPr="00D22D75" w:rsidTr="00A6554F">
        <w:trPr>
          <w:trHeight w:val="4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3A" w:rsidRPr="00A6554F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A6554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A6554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3A" w:rsidRPr="00A6554F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A6554F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</w:t>
            </w:r>
            <w:r w:rsidRPr="00A6554F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lastRenderedPageBreak/>
              <w:t>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867F3A" w:rsidRPr="00A6554F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A" w:rsidRPr="00A6554F" w:rsidRDefault="00A72EF2" w:rsidP="00AA22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A6554F">
              <w:rPr>
                <w:rFonts w:ascii="Candara" w:hAnsi="Candara"/>
                <w:sz w:val="18"/>
                <w:szCs w:val="18"/>
              </w:rPr>
              <w:lastRenderedPageBreak/>
              <w:t xml:space="preserve"> </w:t>
            </w:r>
            <w:r w:rsidR="00867F3A" w:rsidRPr="00A6554F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9A" w:rsidRPr="00A6554F" w:rsidRDefault="00994D4C" w:rsidP="00A72EF2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A la 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>Fiscalía</w:t>
            </w:r>
            <w:r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General del E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>sta</w:t>
            </w:r>
            <w:r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do de Oaxaca, Poder 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>Judicial</w:t>
            </w:r>
            <w:r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del Estado, y a la Secretaría de Seguridad Publica en términos de los artículos 291, 294, 297, 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300 y </w:t>
            </w:r>
            <w:r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303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del Código Nacional de Procedimientos Penales en relación con el 190 de la Ley Federal de Telecomunicaciones y Radiodifusión, </w:t>
            </w:r>
            <w:r w:rsidR="000B1C9A" w:rsidRPr="00A6554F">
              <w:rPr>
                <w:rFonts w:ascii="Candara" w:eastAsia="Times New Roman" w:hAnsi="Candara" w:cstheme="minorHAnsi"/>
                <w:sz w:val="18"/>
                <w:lang w:eastAsia="es-MX"/>
              </w:rPr>
              <w:lastRenderedPageBreak/>
              <w:t>les compete el llenado de los formatos</w:t>
            </w:r>
          </w:p>
          <w:p w:rsidR="000B1C9A" w:rsidRPr="00CA5767" w:rsidRDefault="000B1C9A" w:rsidP="000B1C9A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val="en-US" w:eastAsia="es-MX"/>
              </w:rPr>
            </w:pPr>
            <w:r w:rsidRPr="00CA5767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Formato 47a LGT_Art_70_Fr_XLVII </w:t>
            </w:r>
          </w:p>
          <w:p w:rsidR="00867F3A" w:rsidRPr="00CA5767" w:rsidRDefault="000B1C9A" w:rsidP="000B1C9A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val="en-US" w:eastAsia="es-MX"/>
              </w:rPr>
            </w:pPr>
            <w:r w:rsidRPr="00CA5767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Formato 47b LGT_Art_70_Fr_XLVII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F3A" w:rsidRPr="00D65E4B" w:rsidRDefault="00994D4C" w:rsidP="007E104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D65E4B"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Dirección Administrativa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D0" w:rsidRPr="00CA5767" w:rsidRDefault="00994D4C" w:rsidP="007E104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CA576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47c LGT_Art_70_Fr_XLVII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3F2DEB" w:rsidRDefault="00A43D49" w:rsidP="003F2DE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43D49" w:rsidRPr="0085175D" w:rsidRDefault="00A43D49" w:rsidP="000B1C9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C" w:rsidRDefault="005942E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General </w:t>
            </w:r>
          </w:p>
          <w:p w:rsidR="005942EC" w:rsidRDefault="005942E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72EF2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</w:t>
            </w:r>
            <w:r w:rsidR="00CA5767">
              <w:rPr>
                <w:rFonts w:ascii="Candara" w:eastAsia="Times New Roman" w:hAnsi="Candara" w:cs="Times New Roman"/>
                <w:sz w:val="18"/>
                <w:lang w:eastAsia="es-MX"/>
              </w:rPr>
              <w:t>de financiamiento</w:t>
            </w:r>
          </w:p>
          <w:p w:rsidR="00CA5767" w:rsidRDefault="00CA576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72EF2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Administrativa </w:t>
            </w:r>
          </w:p>
          <w:p w:rsidR="00A72EF2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72EF2" w:rsidRPr="0085175D" w:rsidRDefault="00A72EF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F82B7A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:rsidR="00A43D49" w:rsidRPr="00A30F35" w:rsidRDefault="00A43D49" w:rsidP="00F82B7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85175D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ar  que  se  publiquen  en  la </w:t>
            </w: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 DE APLICABILIDAD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INTEGRAL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DE ACTUALIZACIÓN Y CONSERVACIÓN DE LA INFORMACIÓN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C71AA6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440D4F" w:rsidRPr="00BA22E1" w:rsidTr="00A6554F">
        <w:trPr>
          <w:trHeight w:val="65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85175D" w:rsidRDefault="001B2B1B" w:rsidP="00F4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85175D" w:rsidRDefault="001B2B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2519D1" w:rsidRDefault="001B2B1B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85175D" w:rsidRDefault="001B2B1B" w:rsidP="00251EF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B1B" w:rsidRPr="0085175D" w:rsidRDefault="001B2B1B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1B" w:rsidRPr="00FC2CB4" w:rsidRDefault="001B2B1B" w:rsidP="001B2B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EC" w:rsidRPr="00FE187D" w:rsidRDefault="005942EC" w:rsidP="005942E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5942EC" w:rsidRPr="00FE187D" w:rsidRDefault="005942EC" w:rsidP="005942E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5942EC" w:rsidRPr="00FE187D" w:rsidRDefault="005942EC" w:rsidP="005942E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Además de lo señalado en el artículo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70 de la presente Ley, los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Fideicomisos, fondos públicos, mandatos o cualquier contrato análogo, deberán poner a disposición del público y mantener actualizada y accesible, en lo que resulte aplicable a cada contrato, la siguiente información:…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EC" w:rsidRPr="00FE187D" w:rsidRDefault="005942EC" w:rsidP="005942E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nombre del servidor público y de la persona física o moral que represente al fideicomitente, al fiduciario y al fideicomisario;</w:t>
            </w:r>
          </w:p>
          <w:p w:rsidR="005942EC" w:rsidRPr="00FE187D" w:rsidRDefault="005942EC" w:rsidP="005942E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EC" w:rsidRPr="00FE187D" w:rsidRDefault="005942EC" w:rsidP="005942E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EC" w:rsidRPr="00FE187D" w:rsidRDefault="005942EC" w:rsidP="005942E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5942EC" w:rsidRPr="00FE187D" w:rsidRDefault="005942EC" w:rsidP="005942EC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C" w:rsidRPr="00FE187D" w:rsidRDefault="005942EC" w:rsidP="009F262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</w:t>
            </w:r>
            <w:r w:rsidR="009F2626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General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C" w:rsidRPr="00276B79" w:rsidRDefault="005942EC" w:rsidP="005942E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 LGT_Art_77_Fr_I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26" w:rsidRPr="00FE187D" w:rsidRDefault="009F2626" w:rsidP="009F2626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unidad administrativa responsable del fideicomiso;</w:t>
            </w:r>
          </w:p>
          <w:p w:rsidR="009F2626" w:rsidRPr="00FE187D" w:rsidRDefault="009F2626" w:rsidP="009F2626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26" w:rsidRPr="00FE187D" w:rsidRDefault="009F2626" w:rsidP="009F262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26" w:rsidRPr="00FE187D" w:rsidRDefault="009F2626" w:rsidP="009F262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General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6" w:rsidRPr="00276B79" w:rsidRDefault="009F2626" w:rsidP="009F2626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 LGT_Art_77_Fr_II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…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monto total, el uso y destino del patrimonio fideicomitido, distinguiendo las aportaciones públicas y fuente de los recursos,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subsidios, donaciones, transferencias, excedentes, inversiones realizadas y aportaciones o subvenciones que reciban;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3a LGT_Art_77_Fr_III</w:t>
            </w:r>
          </w:p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3b LGT_Art_77_Fr_III</w:t>
            </w:r>
          </w:p>
        </w:tc>
      </w:tr>
      <w:tr w:rsidR="00440D4F" w:rsidRPr="00BA22E1" w:rsidTr="00A6554F">
        <w:trPr>
          <w:trHeight w:val="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saldo total al cierre del ejercicio fiscal, sin perjuicio de los demás informes que deban presentarse en los términos de las disposiciones aplicables;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Contabilidad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4 LGT_Art_77_Fr_IV</w:t>
            </w:r>
          </w:p>
          <w:p w:rsidR="003046BC" w:rsidRPr="00FE187D" w:rsidRDefault="003046BC" w:rsidP="003046B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modificaciones que, en su caso, sufran los contratos o decretos de constitución del fideicomiso o del fondo público;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Jurídico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3046B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5 LGT_Art_77_Fr_V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VI.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padrón de beneficiarios, en su caso;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3046BC" w:rsidRPr="00FE187D" w:rsidRDefault="003046BC" w:rsidP="00CA5767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</w:t>
            </w:r>
            <w:r w:rsidR="00CA5767">
              <w:rPr>
                <w:rFonts w:ascii="Candara" w:eastAsia="Times New Roman" w:hAnsi="Candara" w:cs="Times New Roman"/>
                <w:sz w:val="18"/>
                <w:lang w:eastAsia="es-MX"/>
              </w:rPr>
              <w:t>de financiamiento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0B1C9A">
            <w:pPr>
              <w:spacing w:after="0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76B79">
              <w:rPr>
                <w:rFonts w:ascii="Candara" w:hAnsi="Candara"/>
                <w:bCs/>
                <w:sz w:val="18"/>
                <w:szCs w:val="18"/>
                <w:lang w:val="en-US"/>
              </w:rPr>
              <w:t>Formato 6a LGT_Art_77_Fr_VI</w:t>
            </w:r>
          </w:p>
          <w:p w:rsidR="003046BC" w:rsidRPr="00276B79" w:rsidRDefault="003046BC" w:rsidP="000B1C9A">
            <w:pPr>
              <w:spacing w:after="0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76B79">
              <w:rPr>
                <w:rFonts w:ascii="Candara" w:hAnsi="Candara"/>
                <w:bCs/>
                <w:sz w:val="18"/>
                <w:szCs w:val="18"/>
                <w:lang w:val="en-US"/>
              </w:rPr>
              <w:t>Formato 6b LGT_Art_77_Fr_VI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Causas por las que, en su caso, se inicie el proceso de constitución o extinción del fideicomiso o fondo público, especificando, de manera detallada, los recursos financieros destinados para tal efecto,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3046BC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7a LGT_Art_77_Fr_VII</w:t>
            </w:r>
          </w:p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7b LGT_Art_77_Fr_VII</w:t>
            </w:r>
          </w:p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7c LGT_Art_77_Fr_VII</w:t>
            </w:r>
          </w:p>
          <w:p w:rsidR="003046BC" w:rsidRPr="00276B79" w:rsidRDefault="003046BC" w:rsidP="000B1C9A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7d LGT_Art_77_Fr_VII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E7B52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contratos de obras, adquisiciones y servicios que involucren recursos públicos del fideicomiso, así como los honorarios derivados de los servicios y operaciones que realice la institución de crédito o la fiduciaria.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E7B52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FE187D" w:rsidRDefault="003046BC" w:rsidP="003E7B52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3E7B52">
            <w:pPr>
              <w:spacing w:after="0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76B79">
              <w:rPr>
                <w:rFonts w:ascii="Candara" w:hAnsi="Candara"/>
                <w:bCs/>
                <w:sz w:val="18"/>
                <w:szCs w:val="18"/>
                <w:lang w:val="en-US"/>
              </w:rPr>
              <w:t>Formato 8a LGT_Art_77_Fr_VIII</w:t>
            </w:r>
          </w:p>
          <w:p w:rsidR="003046BC" w:rsidRPr="00276B79" w:rsidRDefault="003046BC" w:rsidP="003E7B52">
            <w:pPr>
              <w:spacing w:after="0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76B79">
              <w:rPr>
                <w:rFonts w:ascii="Candara" w:hAnsi="Candara"/>
                <w:bCs/>
                <w:sz w:val="18"/>
                <w:szCs w:val="18"/>
                <w:lang w:val="en-US"/>
              </w:rPr>
              <w:t>Formato 8b LGT_Art_77_Fr_VIII</w:t>
            </w:r>
          </w:p>
        </w:tc>
      </w:tr>
      <w:tr w:rsidR="00440D4F" w:rsidRPr="00D22D75" w:rsidTr="00A6554F">
        <w:trPr>
          <w:trHeight w:val="101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80.</w:t>
            </w:r>
            <w:r w:rsidRPr="00FE187D">
              <w:t xml:space="preserve">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6BC" w:rsidRPr="00FE187D" w:rsidRDefault="003046BC" w:rsidP="003046BC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BC" w:rsidRPr="00FE187D" w:rsidRDefault="003046BC" w:rsidP="003046BC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1b LGT_Art_80_Fr_I_II_III</w:t>
            </w: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Organismo Garante.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Default="003046BC" w:rsidP="003046BC">
            <w:pPr>
              <w:rPr>
                <w:rFonts w:eastAsia="Times New Roman" w:cs="Times New Roman"/>
                <w:sz w:val="18"/>
                <w:lang w:eastAsia="es-MX"/>
              </w:rPr>
            </w:pPr>
            <w:r>
              <w:rPr>
                <w:rFonts w:eastAsia="Times New Roman" w:cs="Times New Roman"/>
                <w:sz w:val="18"/>
                <w:lang w:eastAsia="es-MX"/>
              </w:rPr>
              <w:t xml:space="preserve">Departamento </w:t>
            </w:r>
            <w:r w:rsidR="000F460A">
              <w:rPr>
                <w:rFonts w:eastAsia="Times New Roman" w:cs="Times New Roman"/>
                <w:sz w:val="18"/>
                <w:lang w:eastAsia="es-MX"/>
              </w:rPr>
              <w:t>Jurídico</w:t>
            </w:r>
            <w:r>
              <w:rPr>
                <w:rFonts w:eastAsia="Times New Roman" w:cs="Times New Roman"/>
                <w:sz w:val="18"/>
                <w:lang w:eastAsia="es-MX"/>
              </w:rPr>
              <w:t xml:space="preserve"> </w:t>
            </w:r>
          </w:p>
          <w:p w:rsidR="003046BC" w:rsidRPr="00FE187D" w:rsidRDefault="003046BC" w:rsidP="003046BC">
            <w:pPr>
              <w:rPr>
                <w:rFonts w:eastAsia="Times New Roman" w:cs="Times New Roman"/>
                <w:sz w:val="18"/>
                <w:lang w:eastAsia="es-MX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BC" w:rsidRPr="00276B79" w:rsidRDefault="003046BC" w:rsidP="003046BC">
            <w:pP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1a LGT_Art_80_Fr_I_II_III</w:t>
            </w:r>
          </w:p>
          <w:p w:rsidR="003046BC" w:rsidRPr="00276B79" w:rsidRDefault="003046BC" w:rsidP="003046BC">
            <w:pP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440D4F" w:rsidRPr="00D22D75" w:rsidTr="00A6554F">
        <w:trPr>
          <w:trHeight w:val="4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276B79" w:rsidRDefault="00FF03D6" w:rsidP="00FF03D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*</w:t>
            </w:r>
            <w:r w:rsidRPr="00FE187D">
              <w:t xml:space="preserve"> 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21.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FE187D">
              <w:rPr>
                <w:rFonts w:ascii="Candara" w:hAnsi="Candara"/>
                <w:i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0B1C9A" w:rsidP="00FF03D6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3D6" w:rsidRDefault="00CA5767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  <w:p w:rsidR="00CA5767" w:rsidRDefault="00CA5767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Promoción Institucional</w:t>
            </w:r>
          </w:p>
          <w:p w:rsidR="00CA5767" w:rsidRDefault="00CA5767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financiamiento</w:t>
            </w:r>
          </w:p>
          <w:p w:rsidR="00CA5767" w:rsidRDefault="00CA5767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CA5767" w:rsidRPr="00FE187D" w:rsidRDefault="00CA5767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D6" w:rsidRPr="00276B79" w:rsidRDefault="00FF03D6" w:rsidP="000B1C9A">
            <w:pPr>
              <w:spacing w:after="0"/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</w:pPr>
            <w:r w:rsidRPr="00276B79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  LTO_Art_21a_Fr_VIII</w:t>
            </w:r>
          </w:p>
          <w:p w:rsidR="00FF03D6" w:rsidRPr="00276B79" w:rsidRDefault="00FF03D6" w:rsidP="000B1C9A">
            <w:pPr>
              <w:spacing w:after="0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  LTO_Art_21b_Fr_VIII</w:t>
            </w: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440D4F" w:rsidRPr="00D22D75" w:rsidTr="00A6554F">
        <w:trPr>
          <w:trHeight w:val="4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276B79" w:rsidRDefault="00FF03D6" w:rsidP="00FF03D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*</w:t>
            </w:r>
            <w:r w:rsidRPr="00FE187D">
              <w:t xml:space="preserve"> 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32.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:rsidR="00FF03D6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Además de lo señalado en el artículo 77 de la Ley General, y en el artículo 19 de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esta Ley, los fideicomisos, fondos públicos, mandatos o cualquier otro contrato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análogo, deberán poner a disposición del público y mantener actualizada la siguiente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información: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Monto total de remanentes de un ejercicio fiscal a otro;</w:t>
            </w:r>
          </w:p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reglas de operación que los regulan, y</w:t>
            </w:r>
          </w:p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demás que señalen las disposiciones normativas en la materia.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FF03D6" w:rsidP="00FF03D6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D6" w:rsidRPr="00FE187D" w:rsidRDefault="00FF03D6" w:rsidP="00FF03D6">
            <w:pPr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3D6" w:rsidRDefault="00FF03D6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FF03D6" w:rsidRPr="00FE187D" w:rsidRDefault="00FF03D6" w:rsidP="00FF03D6">
            <w:pPr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9A" w:rsidRDefault="00FF03D6" w:rsidP="000B1C9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Formato  32 LTO_Art_32  </w:t>
            </w:r>
          </w:p>
          <w:p w:rsidR="00FF03D6" w:rsidRPr="00276B79" w:rsidRDefault="00FF03D6" w:rsidP="000B1C9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 1 LTO_Art_32_Fr_I</w:t>
            </w:r>
          </w:p>
          <w:p w:rsidR="00FF03D6" w:rsidRPr="00276B79" w:rsidRDefault="00FF03D6" w:rsidP="000B1C9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 2 LTO_Art_32_Fr_II</w:t>
            </w:r>
          </w:p>
          <w:p w:rsidR="00FF03D6" w:rsidRPr="00276B79" w:rsidRDefault="00FF03D6" w:rsidP="000B1C9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76B79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 3 LTO_Art_32_Fr_III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8"/>
        <w:gridCol w:w="4458"/>
      </w:tblGrid>
      <w:tr w:rsidR="00C62FA7" w:rsidRPr="004460DA" w:rsidTr="00C62FA7">
        <w:trPr>
          <w:trHeight w:val="1052"/>
          <w:jc w:val="center"/>
        </w:trPr>
        <w:tc>
          <w:tcPr>
            <w:tcW w:w="4457" w:type="dxa"/>
          </w:tcPr>
          <w:p w:rsidR="00C62FA7" w:rsidRPr="004460DA" w:rsidRDefault="00C62FA7" w:rsidP="00D65E4B">
            <w:pPr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F37A7" wp14:editId="6C06C56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5B168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Pr="004460DA">
              <w:rPr>
                <w:rFonts w:ascii="Candara" w:eastAsia="Calibri" w:hAnsi="Candara" w:cs="Times New Roman"/>
                <w:noProof/>
                <w:sz w:val="18"/>
              </w:rPr>
              <w:t>Elaboró</w:t>
            </w:r>
          </w:p>
        </w:tc>
        <w:tc>
          <w:tcPr>
            <w:tcW w:w="4458" w:type="dxa"/>
          </w:tcPr>
          <w:p w:rsidR="00C62FA7" w:rsidRPr="004460DA" w:rsidRDefault="00C62FA7" w:rsidP="00D65E4B">
            <w:pPr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CFE20C" wp14:editId="741FDA4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D37C4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4460DA">
              <w:rPr>
                <w:rFonts w:ascii="Candara" w:eastAsia="Calibri" w:hAnsi="Candara" w:cs="Times New Roman"/>
                <w:noProof/>
                <w:sz w:val="18"/>
              </w:rPr>
              <w:t>Supervisó</w:t>
            </w:r>
          </w:p>
        </w:tc>
        <w:tc>
          <w:tcPr>
            <w:tcW w:w="4458" w:type="dxa"/>
          </w:tcPr>
          <w:p w:rsidR="00C62FA7" w:rsidRPr="004460DA" w:rsidRDefault="00C62FA7" w:rsidP="00D65E4B">
            <w:pPr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58933" wp14:editId="406D0E0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EE971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Pr="004460DA">
              <w:rPr>
                <w:rFonts w:ascii="Candara" w:eastAsia="Calibri" w:hAnsi="Candara" w:cs="Times New Roman"/>
                <w:noProof/>
                <w:sz w:val="18"/>
              </w:rPr>
              <w:t>Autorizó</w:t>
            </w:r>
          </w:p>
        </w:tc>
      </w:tr>
      <w:tr w:rsidR="00C62FA7" w:rsidRPr="004460DA" w:rsidTr="00C62FA7">
        <w:trPr>
          <w:trHeight w:val="189"/>
          <w:jc w:val="center"/>
        </w:trPr>
        <w:tc>
          <w:tcPr>
            <w:tcW w:w="4457" w:type="dxa"/>
          </w:tcPr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>
              <w:rPr>
                <w:rFonts w:ascii="Candara" w:eastAsia="Calibri" w:hAnsi="Candara" w:cs="Times New Roman"/>
                <w:noProof/>
                <w:sz w:val="18"/>
              </w:rPr>
              <w:t>Lic. Thomas Aguilar Mendoza</w:t>
            </w:r>
          </w:p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>
              <w:rPr>
                <w:rFonts w:ascii="Candara" w:eastAsia="Calibri" w:hAnsi="Candara" w:cs="Times New Roman"/>
                <w:noProof/>
                <w:sz w:val="18"/>
              </w:rPr>
              <w:t>Jefe del Departamento de Quejas y denuncias</w:t>
            </w:r>
          </w:p>
        </w:tc>
        <w:tc>
          <w:tcPr>
            <w:tcW w:w="4458" w:type="dxa"/>
          </w:tcPr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</w:rPr>
              <w:t>Lic. Lucila Martínez Altamirano</w:t>
            </w:r>
          </w:p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</w:rPr>
              <w:t>Sub Directora Jurídica</w:t>
            </w:r>
          </w:p>
        </w:tc>
        <w:tc>
          <w:tcPr>
            <w:tcW w:w="4458" w:type="dxa"/>
          </w:tcPr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</w:rPr>
              <w:t>Lic. Ricardo Dorantes Jiménez</w:t>
            </w:r>
          </w:p>
          <w:p w:rsidR="00C62FA7" w:rsidRPr="004460DA" w:rsidRDefault="00C62FA7" w:rsidP="00214357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4460DA">
              <w:rPr>
                <w:rFonts w:ascii="Candara" w:eastAsia="Calibri" w:hAnsi="Candara" w:cs="Times New Roman"/>
                <w:noProof/>
                <w:sz w:val="18"/>
              </w:rPr>
              <w:t>Director de Asuntos Jurídicos</w:t>
            </w:r>
          </w:p>
        </w:tc>
      </w:tr>
    </w:tbl>
    <w:p w:rsidR="00C62FA7" w:rsidRDefault="00C62FA7" w:rsidP="00C62FA7">
      <w:pPr>
        <w:jc w:val="both"/>
        <w:rPr>
          <w:rFonts w:ascii="Candara" w:eastAsia="Calibri" w:hAnsi="Candara" w:cs="Times New Roman"/>
          <w:noProof/>
          <w:sz w:val="18"/>
        </w:rPr>
      </w:pPr>
    </w:p>
    <w:p w:rsidR="00C62FA7" w:rsidRDefault="00C62FA7" w:rsidP="00C62FA7">
      <w:pPr>
        <w:jc w:val="both"/>
        <w:rPr>
          <w:rFonts w:ascii="Candara" w:hAnsi="Candara"/>
          <w:noProof/>
          <w:sz w:val="18"/>
        </w:rPr>
      </w:pPr>
      <w:r w:rsidRPr="004460DA">
        <w:rPr>
          <w:rFonts w:ascii="Candara" w:eastAsia="Calibri" w:hAnsi="Candara" w:cs="Times New Roman"/>
          <w:noProof/>
          <w:sz w:val="18"/>
        </w:rPr>
        <w:t>NOTA: La validación de la  presente  tabla de</w:t>
      </w:r>
      <w:r w:rsidRPr="004460DA">
        <w:rPr>
          <w:rFonts w:ascii="Candara" w:hAnsi="Candara"/>
          <w:noProof/>
          <w:sz w:val="18"/>
        </w:rPr>
        <w:t xml:space="preserve"> aplicabilidad</w:t>
      </w:r>
      <w:r w:rsidRPr="004460DA">
        <w:rPr>
          <w:rFonts w:ascii="Candara" w:eastAsia="Calibri" w:hAnsi="Candara" w:cs="Times New Roman"/>
          <w:noProof/>
          <w:sz w:val="18"/>
        </w:rPr>
        <w:t xml:space="preserve"> es susceptible de modificación por el Consejo General de este Órgano Garante con base en las disposiciones legales aplicables. </w:t>
      </w:r>
      <w:r w:rsidRPr="004460DA">
        <w:rPr>
          <w:rFonts w:ascii="Candara" w:hAnsi="Candara"/>
          <w:noProof/>
          <w:sz w:val="18"/>
        </w:rPr>
        <w:t xml:space="preserve">Oaxaca de Juárez, Oaxaca, </w:t>
      </w:r>
      <w:r>
        <w:rPr>
          <w:rFonts w:ascii="Candara" w:hAnsi="Candara"/>
          <w:noProof/>
          <w:sz w:val="18"/>
        </w:rPr>
        <w:t>agosto</w:t>
      </w:r>
      <w:r w:rsidRPr="004460DA">
        <w:rPr>
          <w:rFonts w:ascii="Candara" w:hAnsi="Candara"/>
          <w:noProof/>
          <w:sz w:val="18"/>
        </w:rPr>
        <w:t xml:space="preserve"> </w:t>
      </w:r>
      <w:r>
        <w:rPr>
          <w:rFonts w:ascii="Candara" w:hAnsi="Candara"/>
          <w:noProof/>
          <w:sz w:val="18"/>
        </w:rPr>
        <w:t>13</w:t>
      </w:r>
      <w:r w:rsidRPr="004460DA">
        <w:rPr>
          <w:rFonts w:ascii="Candara" w:hAnsi="Candara"/>
          <w:noProof/>
          <w:sz w:val="18"/>
        </w:rPr>
        <w:t xml:space="preserve"> 2018.</w:t>
      </w:r>
    </w:p>
    <w:p w:rsidR="00D65E4B" w:rsidRDefault="00D65E4B" w:rsidP="00C62FA7">
      <w:pPr>
        <w:jc w:val="both"/>
        <w:rPr>
          <w:rFonts w:ascii="Candara" w:hAnsi="Candara"/>
          <w:noProof/>
          <w:sz w:val="18"/>
        </w:rPr>
      </w:pPr>
    </w:p>
    <w:p w:rsidR="00D65E4B" w:rsidRDefault="00D65E4B" w:rsidP="00C62FA7">
      <w:pPr>
        <w:jc w:val="both"/>
        <w:rPr>
          <w:rFonts w:ascii="Candara" w:hAnsi="Candara"/>
          <w:noProof/>
          <w:sz w:val="18"/>
        </w:rPr>
      </w:pPr>
      <w:bookmarkStart w:id="0" w:name="_GoBack"/>
      <w:bookmarkEnd w:id="0"/>
    </w:p>
    <w:p w:rsidR="00D65E4B" w:rsidRDefault="00D65E4B" w:rsidP="00C62FA7">
      <w:pPr>
        <w:jc w:val="both"/>
        <w:rPr>
          <w:rFonts w:ascii="Candara" w:hAnsi="Candara"/>
          <w:noProof/>
          <w:sz w:val="18"/>
        </w:rPr>
      </w:pPr>
    </w:p>
    <w:p w:rsidR="00D65E4B" w:rsidRPr="004460DA" w:rsidRDefault="00D65E4B" w:rsidP="00C62FA7">
      <w:pPr>
        <w:jc w:val="both"/>
        <w:rPr>
          <w:rFonts w:ascii="Candara" w:hAnsi="Candara"/>
          <w:noProof/>
          <w:sz w:val="18"/>
        </w:rPr>
      </w:pPr>
    </w:p>
    <w:p w:rsidR="0086030A" w:rsidRPr="003046BC" w:rsidRDefault="0086030A" w:rsidP="0086030A">
      <w:pPr>
        <w:rPr>
          <w:rFonts w:ascii="Candara" w:hAnsi="Candara"/>
          <w:b/>
          <w:sz w:val="18"/>
          <w:lang w:val="en-US"/>
        </w:rPr>
      </w:pPr>
    </w:p>
    <w:sectPr w:rsidR="0086030A" w:rsidRPr="003046BC" w:rsidSect="0098438C">
      <w:headerReference w:type="default" r:id="rId8"/>
      <w:footerReference w:type="default" r:id="rId9"/>
      <w:pgSz w:w="15840" w:h="12240" w:orient="landscape"/>
      <w:pgMar w:top="720" w:right="720" w:bottom="1135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D9" w:rsidRDefault="00843FD9" w:rsidP="00EB2BF3">
      <w:pPr>
        <w:spacing w:after="0" w:line="240" w:lineRule="auto"/>
      </w:pPr>
      <w:r>
        <w:separator/>
      </w:r>
    </w:p>
  </w:endnote>
  <w:endnote w:type="continuationSeparator" w:id="0">
    <w:p w:rsidR="00843FD9" w:rsidRDefault="00843FD9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354455"/>
      <w:docPartObj>
        <w:docPartGallery w:val="Page Numbers (Bottom of Page)"/>
        <w:docPartUnique/>
      </w:docPartObj>
    </w:sdtPr>
    <w:sdtEndPr/>
    <w:sdtContent>
      <w:p w:rsidR="00D65E4B" w:rsidRDefault="00D65E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47" w:rsidRPr="00AA5F47">
          <w:rPr>
            <w:noProof/>
            <w:lang w:val="es-ES"/>
          </w:rPr>
          <w:t>14</w:t>
        </w:r>
        <w:r>
          <w:fldChar w:fldCharType="end"/>
        </w:r>
      </w:p>
    </w:sdtContent>
  </w:sdt>
  <w:p w:rsidR="00D65E4B" w:rsidRDefault="00D65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D9" w:rsidRDefault="00843FD9" w:rsidP="00EB2BF3">
      <w:pPr>
        <w:spacing w:after="0" w:line="240" w:lineRule="auto"/>
      </w:pPr>
      <w:r>
        <w:separator/>
      </w:r>
    </w:p>
  </w:footnote>
  <w:footnote w:type="continuationSeparator" w:id="0">
    <w:p w:rsidR="00843FD9" w:rsidRDefault="00843FD9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4B" w:rsidRDefault="00D65E4B">
    <w:pPr>
      <w:pStyle w:val="Encabezado"/>
    </w:pPr>
  </w:p>
  <w:p w:rsidR="00D65E4B" w:rsidRDefault="00D65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259A"/>
    <w:rsid w:val="0001092A"/>
    <w:rsid w:val="000133C7"/>
    <w:rsid w:val="00013538"/>
    <w:rsid w:val="00013DAE"/>
    <w:rsid w:val="00013DC3"/>
    <w:rsid w:val="00016034"/>
    <w:rsid w:val="00024673"/>
    <w:rsid w:val="00040E3E"/>
    <w:rsid w:val="00043FEB"/>
    <w:rsid w:val="00045A4B"/>
    <w:rsid w:val="000475C1"/>
    <w:rsid w:val="000515A2"/>
    <w:rsid w:val="00051ECC"/>
    <w:rsid w:val="0005554A"/>
    <w:rsid w:val="000610BC"/>
    <w:rsid w:val="0006606D"/>
    <w:rsid w:val="000772C5"/>
    <w:rsid w:val="000774D7"/>
    <w:rsid w:val="000822E4"/>
    <w:rsid w:val="000826F1"/>
    <w:rsid w:val="0009205A"/>
    <w:rsid w:val="000A57A9"/>
    <w:rsid w:val="000B04BC"/>
    <w:rsid w:val="000B1C9A"/>
    <w:rsid w:val="000B3260"/>
    <w:rsid w:val="000C40C9"/>
    <w:rsid w:val="000C76E3"/>
    <w:rsid w:val="000D0957"/>
    <w:rsid w:val="000D2D2A"/>
    <w:rsid w:val="000D7C95"/>
    <w:rsid w:val="000E0289"/>
    <w:rsid w:val="000E1675"/>
    <w:rsid w:val="000E7563"/>
    <w:rsid w:val="000F460A"/>
    <w:rsid w:val="000F7861"/>
    <w:rsid w:val="00104A63"/>
    <w:rsid w:val="00110C06"/>
    <w:rsid w:val="001250BD"/>
    <w:rsid w:val="00126F17"/>
    <w:rsid w:val="0012706F"/>
    <w:rsid w:val="001361DD"/>
    <w:rsid w:val="00140EBB"/>
    <w:rsid w:val="001464CF"/>
    <w:rsid w:val="00155D18"/>
    <w:rsid w:val="0016057C"/>
    <w:rsid w:val="00164F60"/>
    <w:rsid w:val="00166EF2"/>
    <w:rsid w:val="00175E88"/>
    <w:rsid w:val="001913B7"/>
    <w:rsid w:val="001A0126"/>
    <w:rsid w:val="001A3181"/>
    <w:rsid w:val="001A5308"/>
    <w:rsid w:val="001B1A08"/>
    <w:rsid w:val="001B2B1B"/>
    <w:rsid w:val="001B7019"/>
    <w:rsid w:val="001B73FD"/>
    <w:rsid w:val="001B77DA"/>
    <w:rsid w:val="001C2A7A"/>
    <w:rsid w:val="001C564C"/>
    <w:rsid w:val="001D2C2C"/>
    <w:rsid w:val="001D6443"/>
    <w:rsid w:val="001D71C3"/>
    <w:rsid w:val="001F3780"/>
    <w:rsid w:val="00200567"/>
    <w:rsid w:val="00204E46"/>
    <w:rsid w:val="00207854"/>
    <w:rsid w:val="0021012C"/>
    <w:rsid w:val="0021088D"/>
    <w:rsid w:val="00214357"/>
    <w:rsid w:val="00214CF5"/>
    <w:rsid w:val="0021562D"/>
    <w:rsid w:val="00225CBD"/>
    <w:rsid w:val="002379F3"/>
    <w:rsid w:val="0024344B"/>
    <w:rsid w:val="00251753"/>
    <w:rsid w:val="002519D1"/>
    <w:rsid w:val="00251EFE"/>
    <w:rsid w:val="00252ADA"/>
    <w:rsid w:val="00260CE5"/>
    <w:rsid w:val="00264F17"/>
    <w:rsid w:val="0028096A"/>
    <w:rsid w:val="0028200E"/>
    <w:rsid w:val="00282044"/>
    <w:rsid w:val="0028233D"/>
    <w:rsid w:val="002838AD"/>
    <w:rsid w:val="00293672"/>
    <w:rsid w:val="00296423"/>
    <w:rsid w:val="00297A36"/>
    <w:rsid w:val="00297E01"/>
    <w:rsid w:val="002A1093"/>
    <w:rsid w:val="002B14B7"/>
    <w:rsid w:val="002B23F6"/>
    <w:rsid w:val="002C08C7"/>
    <w:rsid w:val="002D777C"/>
    <w:rsid w:val="002F30F9"/>
    <w:rsid w:val="002F34FF"/>
    <w:rsid w:val="003046BC"/>
    <w:rsid w:val="003133B9"/>
    <w:rsid w:val="0034728F"/>
    <w:rsid w:val="003515D3"/>
    <w:rsid w:val="00351FC7"/>
    <w:rsid w:val="0035573C"/>
    <w:rsid w:val="003614C4"/>
    <w:rsid w:val="00363D14"/>
    <w:rsid w:val="00370701"/>
    <w:rsid w:val="003856C5"/>
    <w:rsid w:val="00385E70"/>
    <w:rsid w:val="003909AD"/>
    <w:rsid w:val="003B692A"/>
    <w:rsid w:val="003C1ED5"/>
    <w:rsid w:val="003C3C43"/>
    <w:rsid w:val="003E13B0"/>
    <w:rsid w:val="003E6687"/>
    <w:rsid w:val="003E6E63"/>
    <w:rsid w:val="003E7B52"/>
    <w:rsid w:val="003F2DEB"/>
    <w:rsid w:val="003F3DC0"/>
    <w:rsid w:val="004244B8"/>
    <w:rsid w:val="0043581C"/>
    <w:rsid w:val="00440D4F"/>
    <w:rsid w:val="00442006"/>
    <w:rsid w:val="00442723"/>
    <w:rsid w:val="00447079"/>
    <w:rsid w:val="00447EBC"/>
    <w:rsid w:val="00450829"/>
    <w:rsid w:val="00452FB5"/>
    <w:rsid w:val="00455D6B"/>
    <w:rsid w:val="0046056C"/>
    <w:rsid w:val="0046100C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C5831"/>
    <w:rsid w:val="004D0CF7"/>
    <w:rsid w:val="004D1952"/>
    <w:rsid w:val="004D21CE"/>
    <w:rsid w:val="004D5684"/>
    <w:rsid w:val="004E6C06"/>
    <w:rsid w:val="004F08BD"/>
    <w:rsid w:val="004F3FDA"/>
    <w:rsid w:val="00506D3A"/>
    <w:rsid w:val="005159B4"/>
    <w:rsid w:val="00516694"/>
    <w:rsid w:val="00526F1F"/>
    <w:rsid w:val="00531DF8"/>
    <w:rsid w:val="00535D22"/>
    <w:rsid w:val="0054343C"/>
    <w:rsid w:val="005534AB"/>
    <w:rsid w:val="00572F62"/>
    <w:rsid w:val="00586D04"/>
    <w:rsid w:val="00592A04"/>
    <w:rsid w:val="005942EC"/>
    <w:rsid w:val="005A1F2F"/>
    <w:rsid w:val="005A4CA7"/>
    <w:rsid w:val="005B619B"/>
    <w:rsid w:val="005C35D9"/>
    <w:rsid w:val="005C4B2D"/>
    <w:rsid w:val="005C6237"/>
    <w:rsid w:val="005C6D00"/>
    <w:rsid w:val="005C7E94"/>
    <w:rsid w:val="005D5ACD"/>
    <w:rsid w:val="005F0CA3"/>
    <w:rsid w:val="005F641F"/>
    <w:rsid w:val="006004D7"/>
    <w:rsid w:val="006028A3"/>
    <w:rsid w:val="0060302D"/>
    <w:rsid w:val="006044FE"/>
    <w:rsid w:val="00612499"/>
    <w:rsid w:val="006217B4"/>
    <w:rsid w:val="00623E04"/>
    <w:rsid w:val="0062438E"/>
    <w:rsid w:val="00630490"/>
    <w:rsid w:val="00631E99"/>
    <w:rsid w:val="00635191"/>
    <w:rsid w:val="00636C45"/>
    <w:rsid w:val="00643DFB"/>
    <w:rsid w:val="006535CA"/>
    <w:rsid w:val="00655190"/>
    <w:rsid w:val="00655315"/>
    <w:rsid w:val="00656EED"/>
    <w:rsid w:val="006571CF"/>
    <w:rsid w:val="00657231"/>
    <w:rsid w:val="00662FA0"/>
    <w:rsid w:val="00666CE9"/>
    <w:rsid w:val="00667F32"/>
    <w:rsid w:val="0067334D"/>
    <w:rsid w:val="00673C81"/>
    <w:rsid w:val="0067424F"/>
    <w:rsid w:val="00681C83"/>
    <w:rsid w:val="00684240"/>
    <w:rsid w:val="00691467"/>
    <w:rsid w:val="006939A1"/>
    <w:rsid w:val="006A7BFA"/>
    <w:rsid w:val="006B0AD0"/>
    <w:rsid w:val="006B2898"/>
    <w:rsid w:val="006B3889"/>
    <w:rsid w:val="006B43BF"/>
    <w:rsid w:val="006C56E4"/>
    <w:rsid w:val="006C7B80"/>
    <w:rsid w:val="006D1544"/>
    <w:rsid w:val="006D76D1"/>
    <w:rsid w:val="006E0594"/>
    <w:rsid w:val="006E7E5C"/>
    <w:rsid w:val="00700800"/>
    <w:rsid w:val="00713688"/>
    <w:rsid w:val="0071791C"/>
    <w:rsid w:val="00730A2C"/>
    <w:rsid w:val="00736878"/>
    <w:rsid w:val="00737DE1"/>
    <w:rsid w:val="00750F25"/>
    <w:rsid w:val="00753598"/>
    <w:rsid w:val="007632C4"/>
    <w:rsid w:val="0077488C"/>
    <w:rsid w:val="007862D7"/>
    <w:rsid w:val="00795270"/>
    <w:rsid w:val="00796969"/>
    <w:rsid w:val="007A0690"/>
    <w:rsid w:val="007B61FD"/>
    <w:rsid w:val="007C41D7"/>
    <w:rsid w:val="007D0624"/>
    <w:rsid w:val="007E104B"/>
    <w:rsid w:val="007E32FE"/>
    <w:rsid w:val="007F38FF"/>
    <w:rsid w:val="007F601D"/>
    <w:rsid w:val="0080143E"/>
    <w:rsid w:val="00816400"/>
    <w:rsid w:val="00833AD9"/>
    <w:rsid w:val="00834EE3"/>
    <w:rsid w:val="008375A5"/>
    <w:rsid w:val="00843FD9"/>
    <w:rsid w:val="00850E48"/>
    <w:rsid w:val="0085175D"/>
    <w:rsid w:val="00857FBB"/>
    <w:rsid w:val="0086030A"/>
    <w:rsid w:val="00860BAA"/>
    <w:rsid w:val="00867F3A"/>
    <w:rsid w:val="0087100B"/>
    <w:rsid w:val="00875E69"/>
    <w:rsid w:val="0089459E"/>
    <w:rsid w:val="00895B0D"/>
    <w:rsid w:val="008A5A4F"/>
    <w:rsid w:val="009044F0"/>
    <w:rsid w:val="009101BF"/>
    <w:rsid w:val="009159B7"/>
    <w:rsid w:val="00916A94"/>
    <w:rsid w:val="00917761"/>
    <w:rsid w:val="009315DD"/>
    <w:rsid w:val="00932602"/>
    <w:rsid w:val="009332D7"/>
    <w:rsid w:val="009351F6"/>
    <w:rsid w:val="00942EEC"/>
    <w:rsid w:val="009458AA"/>
    <w:rsid w:val="00950D6A"/>
    <w:rsid w:val="0095183E"/>
    <w:rsid w:val="00960BE1"/>
    <w:rsid w:val="00961EF6"/>
    <w:rsid w:val="009622A9"/>
    <w:rsid w:val="0098438C"/>
    <w:rsid w:val="0099078E"/>
    <w:rsid w:val="009936C2"/>
    <w:rsid w:val="00994D4C"/>
    <w:rsid w:val="00996ABD"/>
    <w:rsid w:val="009974A3"/>
    <w:rsid w:val="009975EF"/>
    <w:rsid w:val="009A63D8"/>
    <w:rsid w:val="009B1B45"/>
    <w:rsid w:val="009B30B4"/>
    <w:rsid w:val="009C4C82"/>
    <w:rsid w:val="009D4BA9"/>
    <w:rsid w:val="009D52BA"/>
    <w:rsid w:val="009D668B"/>
    <w:rsid w:val="009D6F9E"/>
    <w:rsid w:val="009F2626"/>
    <w:rsid w:val="009F29D0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6554F"/>
    <w:rsid w:val="00A72EF2"/>
    <w:rsid w:val="00A7781B"/>
    <w:rsid w:val="00A81766"/>
    <w:rsid w:val="00A87BB3"/>
    <w:rsid w:val="00A902C8"/>
    <w:rsid w:val="00AA0D16"/>
    <w:rsid w:val="00AA22F6"/>
    <w:rsid w:val="00AA5F47"/>
    <w:rsid w:val="00AA6EEF"/>
    <w:rsid w:val="00AB088B"/>
    <w:rsid w:val="00AB1D9F"/>
    <w:rsid w:val="00AC7CE1"/>
    <w:rsid w:val="00AE257A"/>
    <w:rsid w:val="00AE3C40"/>
    <w:rsid w:val="00AF43A7"/>
    <w:rsid w:val="00B077FF"/>
    <w:rsid w:val="00B13C4A"/>
    <w:rsid w:val="00B148A2"/>
    <w:rsid w:val="00B21CC7"/>
    <w:rsid w:val="00B253C4"/>
    <w:rsid w:val="00B30DB5"/>
    <w:rsid w:val="00B35281"/>
    <w:rsid w:val="00B35DBD"/>
    <w:rsid w:val="00B610B0"/>
    <w:rsid w:val="00B67103"/>
    <w:rsid w:val="00B67A71"/>
    <w:rsid w:val="00B72A9B"/>
    <w:rsid w:val="00B74576"/>
    <w:rsid w:val="00B874CC"/>
    <w:rsid w:val="00B91770"/>
    <w:rsid w:val="00BA0D2C"/>
    <w:rsid w:val="00BA15DC"/>
    <w:rsid w:val="00BA22E1"/>
    <w:rsid w:val="00BA2D80"/>
    <w:rsid w:val="00BC1ABB"/>
    <w:rsid w:val="00BC7E79"/>
    <w:rsid w:val="00BD1D68"/>
    <w:rsid w:val="00BD4442"/>
    <w:rsid w:val="00BE4B9B"/>
    <w:rsid w:val="00BF550D"/>
    <w:rsid w:val="00C00A1F"/>
    <w:rsid w:val="00C026A8"/>
    <w:rsid w:val="00C0295A"/>
    <w:rsid w:val="00C05383"/>
    <w:rsid w:val="00C15446"/>
    <w:rsid w:val="00C17A9E"/>
    <w:rsid w:val="00C23B58"/>
    <w:rsid w:val="00C310AC"/>
    <w:rsid w:val="00C374E4"/>
    <w:rsid w:val="00C37C34"/>
    <w:rsid w:val="00C546CB"/>
    <w:rsid w:val="00C56340"/>
    <w:rsid w:val="00C62FA7"/>
    <w:rsid w:val="00C66DDE"/>
    <w:rsid w:val="00C70032"/>
    <w:rsid w:val="00C71AA6"/>
    <w:rsid w:val="00C75180"/>
    <w:rsid w:val="00C7675D"/>
    <w:rsid w:val="00C83B9D"/>
    <w:rsid w:val="00C93E27"/>
    <w:rsid w:val="00CA02AF"/>
    <w:rsid w:val="00CA5767"/>
    <w:rsid w:val="00CB1052"/>
    <w:rsid w:val="00CC5DCF"/>
    <w:rsid w:val="00CD197E"/>
    <w:rsid w:val="00CD5A86"/>
    <w:rsid w:val="00CE092E"/>
    <w:rsid w:val="00CE53E4"/>
    <w:rsid w:val="00CE6958"/>
    <w:rsid w:val="00CE7B37"/>
    <w:rsid w:val="00CF7398"/>
    <w:rsid w:val="00D00934"/>
    <w:rsid w:val="00D05EDE"/>
    <w:rsid w:val="00D0792D"/>
    <w:rsid w:val="00D13D02"/>
    <w:rsid w:val="00D22901"/>
    <w:rsid w:val="00D22D75"/>
    <w:rsid w:val="00D24566"/>
    <w:rsid w:val="00D30671"/>
    <w:rsid w:val="00D379B2"/>
    <w:rsid w:val="00D44517"/>
    <w:rsid w:val="00D52172"/>
    <w:rsid w:val="00D60ABE"/>
    <w:rsid w:val="00D64E17"/>
    <w:rsid w:val="00D65E4B"/>
    <w:rsid w:val="00D733EB"/>
    <w:rsid w:val="00D77045"/>
    <w:rsid w:val="00D840AC"/>
    <w:rsid w:val="00D929F7"/>
    <w:rsid w:val="00D93634"/>
    <w:rsid w:val="00D953F0"/>
    <w:rsid w:val="00DA06C8"/>
    <w:rsid w:val="00DB6629"/>
    <w:rsid w:val="00DD7357"/>
    <w:rsid w:val="00DE2A64"/>
    <w:rsid w:val="00DE36ED"/>
    <w:rsid w:val="00DE4040"/>
    <w:rsid w:val="00DF2BB3"/>
    <w:rsid w:val="00DF3DAA"/>
    <w:rsid w:val="00E029AA"/>
    <w:rsid w:val="00E02B6E"/>
    <w:rsid w:val="00E20284"/>
    <w:rsid w:val="00E3526A"/>
    <w:rsid w:val="00E3603D"/>
    <w:rsid w:val="00E4243D"/>
    <w:rsid w:val="00E42D97"/>
    <w:rsid w:val="00E43250"/>
    <w:rsid w:val="00E4726E"/>
    <w:rsid w:val="00E53978"/>
    <w:rsid w:val="00E54811"/>
    <w:rsid w:val="00E56365"/>
    <w:rsid w:val="00E56A2C"/>
    <w:rsid w:val="00E62FC5"/>
    <w:rsid w:val="00E70EA3"/>
    <w:rsid w:val="00E75A8B"/>
    <w:rsid w:val="00E774C4"/>
    <w:rsid w:val="00E8740A"/>
    <w:rsid w:val="00E923D4"/>
    <w:rsid w:val="00E9431B"/>
    <w:rsid w:val="00E95773"/>
    <w:rsid w:val="00EA17DD"/>
    <w:rsid w:val="00EA4E80"/>
    <w:rsid w:val="00EA5415"/>
    <w:rsid w:val="00EB1E59"/>
    <w:rsid w:val="00EB2BF3"/>
    <w:rsid w:val="00EB5062"/>
    <w:rsid w:val="00EB7037"/>
    <w:rsid w:val="00EC231B"/>
    <w:rsid w:val="00EC2F16"/>
    <w:rsid w:val="00EC2F89"/>
    <w:rsid w:val="00ED1005"/>
    <w:rsid w:val="00ED137B"/>
    <w:rsid w:val="00EF1F0E"/>
    <w:rsid w:val="00EF73A0"/>
    <w:rsid w:val="00F014F6"/>
    <w:rsid w:val="00F021E7"/>
    <w:rsid w:val="00F07324"/>
    <w:rsid w:val="00F14B63"/>
    <w:rsid w:val="00F16769"/>
    <w:rsid w:val="00F17345"/>
    <w:rsid w:val="00F23B84"/>
    <w:rsid w:val="00F24DB9"/>
    <w:rsid w:val="00F3062F"/>
    <w:rsid w:val="00F421E8"/>
    <w:rsid w:val="00F4439F"/>
    <w:rsid w:val="00F5487B"/>
    <w:rsid w:val="00F5748E"/>
    <w:rsid w:val="00F62CF7"/>
    <w:rsid w:val="00F64C51"/>
    <w:rsid w:val="00F679D8"/>
    <w:rsid w:val="00F74F9A"/>
    <w:rsid w:val="00F82B7A"/>
    <w:rsid w:val="00F903AD"/>
    <w:rsid w:val="00F914BB"/>
    <w:rsid w:val="00F968F9"/>
    <w:rsid w:val="00FA0FE1"/>
    <w:rsid w:val="00FB1FEB"/>
    <w:rsid w:val="00FB2106"/>
    <w:rsid w:val="00FB37A6"/>
    <w:rsid w:val="00FC2CB4"/>
    <w:rsid w:val="00FC37AE"/>
    <w:rsid w:val="00FD1EAA"/>
    <w:rsid w:val="00FD5278"/>
    <w:rsid w:val="00FD602E"/>
    <w:rsid w:val="00FE5723"/>
    <w:rsid w:val="00FF03D6"/>
    <w:rsid w:val="00FF1F35"/>
    <w:rsid w:val="00FF4A8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6C52B-4054-4B1D-8AB5-AE469CB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B31B-0643-43E8-9342-C12C099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3266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Ule Ayala</cp:lastModifiedBy>
  <cp:revision>8</cp:revision>
  <cp:lastPrinted>2018-10-01T13:51:00Z</cp:lastPrinted>
  <dcterms:created xsi:type="dcterms:W3CDTF">2018-08-31T20:02:00Z</dcterms:created>
  <dcterms:modified xsi:type="dcterms:W3CDTF">2018-10-01T14:00:00Z</dcterms:modified>
</cp:coreProperties>
</file>